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Computing at Hollingwood </w:t>
      </w:r>
    </w:p>
    <w:p w:rsidR="00000000" w:rsidDel="00000000" w:rsidP="00000000" w:rsidRDefault="00000000" w:rsidRPr="00000000" w14:paraId="00000002">
      <w:pPr>
        <w:spacing w:before="180" w:line="400.008" w:lineRule="auto"/>
        <w:rPr>
          <w:b w:val="1"/>
          <w:bCs w:val="1"/>
          <w:sz w:val="20"/>
          <w:szCs w:val="20"/>
        </w:rPr>
      </w:pPr>
      <w:r w:rsidDel="00000000" w:rsidR="00000000" w:rsidRPr="00000000">
        <w:rPr>
          <w:rtl w:val="0"/>
        </w:rPr>
      </w:r>
    </w:p>
    <w:p w:rsidR="00000000" w:rsidDel="00000000" w:rsidP="00000000" w:rsidRDefault="00000000" w:rsidRPr="00000000" w14:paraId="00000003">
      <w:pPr>
        <w:spacing w:before="180" w:line="400.008" w:lineRule="auto"/>
        <w:rPr>
          <w:b w:val="1"/>
          <w:bCs w:val="1"/>
          <w:sz w:val="20"/>
          <w:szCs w:val="20"/>
          <w:u w:val="single"/>
        </w:rPr>
      </w:pPr>
      <w:r w:rsidDel="00000000" w:rsidR="00000000" w:rsidRPr="00000000">
        <w:rPr>
          <w:b w:val="1"/>
          <w:bCs w:val="1"/>
          <w:sz w:val="20"/>
          <w:szCs w:val="20"/>
          <w:u w:val="single"/>
          <w:rtl w:val="0"/>
        </w:rPr>
        <w:t xml:space="preserve">Intent</w:t>
      </w:r>
    </w:p>
    <w:p w:rsidR="00000000" w:rsidDel="00000000" w:rsidP="00000000" w:rsidRDefault="00000000" w:rsidRPr="00000000" w14:paraId="00000004">
      <w:pPr>
        <w:spacing w:before="180" w:line="276" w:lineRule="auto"/>
        <w:rPr>
          <w:sz w:val="20"/>
          <w:szCs w:val="20"/>
        </w:rPr>
      </w:pPr>
      <w:r w:rsidDel="00000000" w:rsidR="00000000" w:rsidRPr="00000000">
        <w:rPr>
          <w:sz w:val="20"/>
          <w:szCs w:val="20"/>
          <w:rtl w:val="0"/>
        </w:rPr>
        <w:t xml:space="preserve">At Hollingwood we give every child the opportunity to use technology for a wide variety of purposes, including creating, presenting and organising information.  Through regular revisiting they develop their programming skills and use their knowledge to solve problems.  Safety and the need to become responsible digital citizens underpin our learning.  We recognise that this is a rapidly evolving area and so our provision remains dynamic in response.</w:t>
      </w:r>
    </w:p>
    <w:p w:rsidR="00000000" w:rsidDel="00000000" w:rsidP="00000000" w:rsidRDefault="00000000" w:rsidRPr="00000000" w14:paraId="00000005">
      <w:pPr>
        <w:spacing w:before="180" w:line="400.008" w:lineRule="auto"/>
        <w:rPr>
          <w:b w:val="1"/>
          <w:bCs w:val="1"/>
          <w:sz w:val="20"/>
          <w:szCs w:val="20"/>
        </w:rPr>
      </w:pPr>
      <w:r w:rsidDel="00000000" w:rsidR="00000000" w:rsidRPr="00000000">
        <w:rPr>
          <w:rtl w:val="0"/>
        </w:rPr>
      </w:r>
    </w:p>
    <w:p w:rsidR="00000000" w:rsidDel="00000000" w:rsidP="00000000" w:rsidRDefault="00000000" w:rsidRPr="00000000" w14:paraId="00000006">
      <w:pPr>
        <w:spacing w:before="180" w:line="400.008" w:lineRule="auto"/>
        <w:rPr>
          <w:b w:val="1"/>
          <w:bCs w:val="1"/>
          <w:sz w:val="20"/>
          <w:szCs w:val="20"/>
          <w:u w:val="single"/>
        </w:rPr>
      </w:pPr>
      <w:r w:rsidDel="00000000" w:rsidR="00000000" w:rsidRPr="00000000">
        <w:rPr>
          <w:b w:val="1"/>
          <w:bCs w:val="1"/>
          <w:sz w:val="20"/>
          <w:szCs w:val="20"/>
          <w:u w:val="single"/>
          <w:rtl w:val="0"/>
        </w:rPr>
        <w:t xml:space="preserve">Implementation</w:t>
      </w:r>
    </w:p>
    <w:p w:rsidR="00000000" w:rsidDel="00000000" w:rsidP="00000000" w:rsidRDefault="00000000" w:rsidRPr="00000000" w14:paraId="00000007">
      <w:pPr>
        <w:spacing w:before="180" w:line="276" w:lineRule="auto"/>
        <w:rPr>
          <w:sz w:val="20"/>
          <w:szCs w:val="20"/>
        </w:rPr>
      </w:pPr>
      <w:r w:rsidDel="00000000" w:rsidR="00000000" w:rsidRPr="00000000">
        <w:rPr>
          <w:sz w:val="20"/>
          <w:szCs w:val="20"/>
          <w:highlight w:val="white"/>
          <w:rtl w:val="0"/>
        </w:rPr>
        <w:t xml:space="preserve">Children begin their computing journey within Early Years laying the foundations of computational thinking, by exploring different forms of technology in the world around them and through play. </w:t>
      </w:r>
      <w:r w:rsidDel="00000000" w:rsidR="00000000" w:rsidRPr="00000000">
        <w:rPr>
          <w:sz w:val="20"/>
          <w:szCs w:val="20"/>
          <w:rtl w:val="0"/>
        </w:rPr>
        <w:t xml:space="preserve"> Units build on learning from previous years.  Children also have access to technology at other times so that the use of IT is threaded through the curriculum, helping pupils see the relevance of computing in real-world contexts and enhancing their understanding of how technology can be used in different ways.  Each unit is linked to one of the three areas of the computing curriculum - Information Technology, Computer Science and Digital Literacy.</w:t>
      </w:r>
    </w:p>
    <w:p w:rsidR="00000000" w:rsidDel="00000000" w:rsidP="00000000" w:rsidRDefault="00000000" w:rsidRPr="00000000" w14:paraId="00000008">
      <w:pPr>
        <w:spacing w:before="180" w:line="400.008" w:lineRule="auto"/>
        <w:rPr>
          <w:b w:val="1"/>
          <w:bCs w:val="1"/>
          <w:sz w:val="20"/>
          <w:szCs w:val="20"/>
          <w:u w:val="single"/>
        </w:rPr>
      </w:pPr>
      <w:r w:rsidDel="00000000" w:rsidR="00000000" w:rsidRPr="00000000">
        <w:rPr>
          <w:rtl w:val="0"/>
        </w:rPr>
      </w:r>
    </w:p>
    <w:p w:rsidR="00000000" w:rsidDel="00000000" w:rsidP="00000000" w:rsidRDefault="00000000" w:rsidRPr="00000000" w14:paraId="00000009">
      <w:pPr>
        <w:spacing w:before="180" w:line="400.008" w:lineRule="auto"/>
        <w:rPr>
          <w:b w:val="1"/>
          <w:bCs w:val="1"/>
          <w:sz w:val="20"/>
          <w:szCs w:val="20"/>
          <w:u w:val="single"/>
        </w:rPr>
      </w:pPr>
      <w:r w:rsidDel="00000000" w:rsidR="00000000" w:rsidRPr="00000000">
        <w:rPr>
          <w:b w:val="1"/>
          <w:bCs w:val="1"/>
          <w:sz w:val="20"/>
          <w:szCs w:val="20"/>
          <w:u w:val="single"/>
          <w:rtl w:val="0"/>
        </w:rPr>
        <w:t xml:space="preserve">Impact</w:t>
      </w:r>
    </w:p>
    <w:p w:rsidR="00000000" w:rsidDel="00000000" w:rsidP="00000000" w:rsidRDefault="00000000" w:rsidRPr="00000000" w14:paraId="0000000A">
      <w:pPr>
        <w:spacing w:before="180" w:line="276" w:lineRule="auto"/>
        <w:rPr>
          <w:sz w:val="20"/>
          <w:szCs w:val="20"/>
        </w:rPr>
      </w:pPr>
      <w:r w:rsidDel="00000000" w:rsidR="00000000" w:rsidRPr="00000000">
        <w:rPr>
          <w:sz w:val="20"/>
          <w:szCs w:val="20"/>
          <w:rtl w:val="0"/>
        </w:rPr>
        <w:t xml:space="preserve">On leaving Hollingwood children are able to use a wide variety of technology to present work, analyse information and solve problems, including writing and debugging algorithms. Computational thinking skills are firmly embedded.  Children understand how systems work together, and how to be safe and responsible in a digital world. </w:t>
      </w:r>
    </w:p>
    <w:p w:rsidR="00000000" w:rsidDel="00000000" w:rsidP="00000000" w:rsidRDefault="00000000" w:rsidRPr="00000000" w14:paraId="0000000B">
      <w:pPr>
        <w:widowControl w:val="0"/>
        <w:ind w:left="0" w:firstLine="0"/>
        <w:rPr>
          <w:b w:val="1"/>
          <w:bCs w:val="1"/>
          <w:sz w:val="20"/>
          <w:szCs w:val="20"/>
          <w:u w:val="single"/>
        </w:rPr>
      </w:pPr>
      <w:r w:rsidDel="00000000" w:rsidR="00000000" w:rsidRPr="00000000">
        <w:rPr>
          <w:rtl w:val="0"/>
        </w:rPr>
      </w:r>
    </w:p>
    <w:p w:rsidR="00000000" w:rsidDel="00000000" w:rsidP="00000000" w:rsidRDefault="00000000" w:rsidRPr="00000000" w14:paraId="0000000C">
      <w:pPr>
        <w:widowControl w:val="0"/>
        <w:ind w:left="0" w:firstLine="0"/>
        <w:rPr>
          <w:sz w:val="20"/>
          <w:szCs w:val="20"/>
        </w:rPr>
      </w:pPr>
      <w:r w:rsidDel="00000000" w:rsidR="00000000" w:rsidRPr="00000000">
        <w:rPr>
          <w:rtl w:val="0"/>
        </w:rPr>
      </w:r>
    </w:p>
    <w:sectPr>
      <w:headerReference r:id="rId7" w:type="default"/>
      <w:pgSz w:h="16834" w:w="11909" w:orient="portrait"/>
      <w:pgMar w:bottom="239.64566929134207"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4505325</wp:posOffset>
          </wp:positionH>
          <wp:positionV relativeFrom="paragraph">
            <wp:posOffset>-104773</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0588"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J84gbUi4d35LMEXtms+aiuQqNw==">CgMxLjA4AHIhMVlGQ2RLUmNNTGdKSHpWbEtXTHhGSHowQjVHZHhRZlhv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