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Maths at Hollingwood </w:t>
      </w:r>
    </w:p>
    <w:p w:rsidR="00000000" w:rsidDel="00000000" w:rsidP="00000000" w:rsidRDefault="00000000" w:rsidRPr="00000000" w14:paraId="00000002">
      <w:pPr>
        <w:rPr>
          <w:b w:val="1"/>
          <w:bCs w:val="1"/>
          <w:sz w:val="20"/>
          <w:szCs w:val="20"/>
          <w:u w:val="single"/>
        </w:rPr>
      </w:pPr>
      <w:r w:rsidDel="00000000" w:rsidR="00000000" w:rsidRPr="00000000">
        <w:rPr>
          <w:rtl w:val="0"/>
        </w:rPr>
      </w:r>
    </w:p>
    <w:p w:rsidR="00000000" w:rsidDel="00000000" w:rsidP="00000000" w:rsidRDefault="00000000" w:rsidRPr="00000000" w14:paraId="00000003">
      <w:pPr>
        <w:rPr>
          <w:i w:val="1"/>
          <w:iCs w:val="1"/>
          <w:sz w:val="20"/>
          <w:szCs w:val="20"/>
        </w:rPr>
      </w:pPr>
      <w:r w:rsidDel="00000000" w:rsidR="00000000" w:rsidRPr="00000000">
        <w:rPr>
          <w:rtl w:val="0"/>
        </w:rPr>
      </w:r>
    </w:p>
    <w:p w:rsidR="00000000" w:rsidDel="00000000" w:rsidP="00000000" w:rsidRDefault="00000000" w:rsidRPr="00000000" w14:paraId="00000004">
      <w:pPr>
        <w:rPr>
          <w:b w:val="1"/>
          <w:bCs w:val="1"/>
          <w:sz w:val="20"/>
          <w:szCs w:val="20"/>
          <w:u w:val="single"/>
        </w:rPr>
      </w:pPr>
      <w:r w:rsidDel="00000000" w:rsidR="00000000" w:rsidRPr="00000000">
        <w:rPr>
          <w:rtl w:val="0"/>
        </w:rPr>
      </w:r>
    </w:p>
    <w:p w:rsidR="00000000" w:rsidDel="00000000" w:rsidP="00000000" w:rsidRDefault="00000000" w:rsidRPr="00000000" w14:paraId="00000005">
      <w:pPr>
        <w:rPr>
          <w:b w:val="1"/>
          <w:bCs w:val="1"/>
          <w:sz w:val="20"/>
          <w:szCs w:val="20"/>
          <w:u w:val="single"/>
        </w:rPr>
      </w:pPr>
      <w:r w:rsidDel="00000000" w:rsidR="00000000" w:rsidRPr="00000000">
        <w:rPr>
          <w:b w:val="1"/>
          <w:bCs w:val="1"/>
          <w:sz w:val="20"/>
          <w:szCs w:val="20"/>
          <w:u w:val="single"/>
          <w:rtl w:val="0"/>
        </w:rPr>
        <w:t xml:space="preserve">Intent </w:t>
      </w:r>
    </w:p>
    <w:p w:rsidR="00000000" w:rsidDel="00000000" w:rsidP="00000000" w:rsidRDefault="00000000" w:rsidRPr="00000000" w14:paraId="00000006">
      <w:pPr>
        <w:rPr>
          <w:b w:val="1"/>
          <w:bCs w:val="1"/>
          <w:sz w:val="20"/>
          <w:szCs w:val="20"/>
          <w:u w:val="single"/>
        </w:rPr>
      </w:pPr>
      <w:r w:rsidDel="00000000" w:rsidR="00000000" w:rsidRPr="00000000">
        <w:rPr>
          <w:rtl w:val="0"/>
        </w:rPr>
      </w:r>
    </w:p>
    <w:p w:rsidR="00000000" w:rsidDel="00000000" w:rsidP="00000000" w:rsidRDefault="00000000" w:rsidRPr="00000000" w14:paraId="00000007">
      <w:pPr>
        <w:rPr>
          <w:b w:val="1"/>
          <w:bCs w:val="1"/>
          <w:sz w:val="20"/>
          <w:szCs w:val="20"/>
          <w:u w:val="single"/>
        </w:rPr>
      </w:pPr>
      <w:r w:rsidDel="00000000" w:rsidR="00000000" w:rsidRPr="00000000">
        <w:rPr>
          <w:rtl w:val="0"/>
        </w:rPr>
      </w:r>
    </w:p>
    <w:p w:rsidR="00000000" w:rsidDel="00000000" w:rsidP="00000000" w:rsidRDefault="00000000" w:rsidRPr="00000000" w14:paraId="00000008">
      <w:pPr>
        <w:rPr>
          <w:b w:val="1"/>
          <w:bCs w:val="1"/>
          <w:sz w:val="20"/>
          <w:szCs w:val="20"/>
          <w:u w:val="single"/>
        </w:rPr>
      </w:pPr>
      <w:r w:rsidDel="00000000" w:rsidR="00000000" w:rsidRPr="00000000">
        <w:rPr>
          <w:rtl w:val="0"/>
        </w:rPr>
      </w:r>
    </w:p>
    <w:p w:rsidR="00000000" w:rsidDel="00000000" w:rsidP="00000000" w:rsidRDefault="00000000" w:rsidRPr="00000000" w14:paraId="00000009">
      <w:pPr>
        <w:widowControl w:val="0"/>
        <w:ind w:left="0" w:firstLine="0"/>
        <w:rPr>
          <w:sz w:val="20"/>
          <w:szCs w:val="20"/>
        </w:rPr>
      </w:pPr>
      <w:r w:rsidDel="00000000" w:rsidR="00000000" w:rsidRPr="00000000">
        <w:rPr>
          <w:sz w:val="20"/>
          <w:szCs w:val="20"/>
          <w:rtl w:val="0"/>
        </w:rPr>
        <w:t xml:space="preserve">We believe that every child at Hollingwood is a Mathematician and can achieve in Mathematics. Through our mastery approach, we aim to ensure that pupils leave Hollingwood with secure mathematical foundations, a positive mindset, and the skills needed for future learning and everyday life. </w:t>
      </w:r>
    </w:p>
    <w:p w:rsidR="00000000" w:rsidDel="00000000" w:rsidP="00000000" w:rsidRDefault="00000000" w:rsidRPr="00000000" w14:paraId="0000000A">
      <w:pPr>
        <w:widowControl w:val="0"/>
        <w:ind w:left="0" w:firstLine="0"/>
        <w:rPr>
          <w:sz w:val="20"/>
          <w:szCs w:val="20"/>
        </w:rPr>
      </w:pPr>
      <w:r w:rsidDel="00000000" w:rsidR="00000000" w:rsidRPr="00000000">
        <w:rPr>
          <w:rtl w:val="0"/>
        </w:rPr>
      </w:r>
    </w:p>
    <w:p w:rsidR="00000000" w:rsidDel="00000000" w:rsidP="00000000" w:rsidRDefault="00000000" w:rsidRPr="00000000" w14:paraId="0000000B">
      <w:pPr>
        <w:widowControl w:val="0"/>
        <w:ind w:left="0" w:firstLine="0"/>
        <w:rPr>
          <w:sz w:val="20"/>
          <w:szCs w:val="20"/>
        </w:rPr>
      </w:pPr>
      <w:r w:rsidDel="00000000" w:rsidR="00000000" w:rsidRPr="00000000">
        <w:rPr>
          <w:sz w:val="20"/>
          <w:szCs w:val="20"/>
          <w:rtl w:val="0"/>
        </w:rPr>
        <w:t xml:space="preserve">We aim to develop confident, curious, and resilient mathematicians who enjoy exploring numbers, patterns, and problems. We value inclusion and hold high expectations for all, valuing different ways of thinking and learning. We aim to build strong foundations in number sense, reasoning, and problem-solving. We value the importance of fluency and flexibility, enabling pupils to choose efficient strategies and make connections across concepts and apply their learning across a range of real-life contexts. </w:t>
      </w:r>
    </w:p>
    <w:p w:rsidR="00000000" w:rsidDel="00000000" w:rsidP="00000000" w:rsidRDefault="00000000" w:rsidRPr="00000000" w14:paraId="0000000C">
      <w:pPr>
        <w:rPr>
          <w:b w:val="1"/>
          <w:bCs w:val="1"/>
          <w:sz w:val="20"/>
          <w:szCs w:val="20"/>
          <w:u w:val="single"/>
        </w:rPr>
      </w:pPr>
      <w:r w:rsidDel="00000000" w:rsidR="00000000" w:rsidRPr="00000000">
        <w:rPr>
          <w:rtl w:val="0"/>
        </w:rPr>
      </w:r>
    </w:p>
    <w:p w:rsidR="00000000" w:rsidDel="00000000" w:rsidP="00000000" w:rsidRDefault="00000000" w:rsidRPr="00000000" w14:paraId="0000000D">
      <w:pPr>
        <w:rPr>
          <w:b w:val="1"/>
          <w:bCs w:val="1"/>
          <w:sz w:val="20"/>
          <w:szCs w:val="20"/>
          <w:u w:val="single"/>
        </w:rPr>
      </w:pPr>
      <w:r w:rsidDel="00000000" w:rsidR="00000000" w:rsidRPr="00000000">
        <w:rPr>
          <w:rtl w:val="0"/>
        </w:rPr>
      </w:r>
    </w:p>
    <w:p w:rsidR="00000000" w:rsidDel="00000000" w:rsidP="00000000" w:rsidRDefault="00000000" w:rsidRPr="00000000" w14:paraId="0000000E">
      <w:pPr>
        <w:rPr>
          <w:b w:val="1"/>
          <w:bCs w:val="1"/>
          <w:sz w:val="20"/>
          <w:szCs w:val="20"/>
          <w:u w:val="single"/>
        </w:rPr>
      </w:pPr>
      <w:r w:rsidDel="00000000" w:rsidR="00000000" w:rsidRPr="00000000">
        <w:rPr>
          <w:b w:val="1"/>
          <w:bCs w:val="1"/>
          <w:sz w:val="20"/>
          <w:szCs w:val="20"/>
          <w:u w:val="single"/>
          <w:rtl w:val="0"/>
        </w:rPr>
        <w:t xml:space="preserve">Implementation</w:t>
      </w:r>
    </w:p>
    <w:p w:rsidR="00000000" w:rsidDel="00000000" w:rsidP="00000000" w:rsidRDefault="00000000" w:rsidRPr="00000000" w14:paraId="0000000F">
      <w:pPr>
        <w:rPr>
          <w:b w:val="1"/>
          <w:bCs w:val="1"/>
          <w:sz w:val="20"/>
          <w:szCs w:val="20"/>
          <w:u w:val="single"/>
        </w:rPr>
      </w:pPr>
      <w:r w:rsidDel="00000000" w:rsidR="00000000" w:rsidRPr="00000000">
        <w:rPr>
          <w:rtl w:val="0"/>
        </w:rPr>
      </w:r>
    </w:p>
    <w:p w:rsidR="00000000" w:rsidDel="00000000" w:rsidP="00000000" w:rsidRDefault="00000000" w:rsidRPr="00000000" w14:paraId="00000010">
      <w:pPr>
        <w:widowControl w:val="0"/>
        <w:ind w:left="0" w:firstLine="0"/>
        <w:rPr>
          <w:sz w:val="20"/>
          <w:szCs w:val="20"/>
        </w:rPr>
      </w:pPr>
      <w:r w:rsidDel="00000000" w:rsidR="00000000" w:rsidRPr="00000000">
        <w:rPr>
          <w:sz w:val="20"/>
          <w:szCs w:val="20"/>
          <w:rtl w:val="0"/>
        </w:rPr>
        <w:t xml:space="preserve">Our curriculum is formed from the objectives set from the National Curriculum. We use the White Rose Maths scheme to structure the curriculum, ensure consistency across school and support staff subject knowledge. Lessons follow a coherent, structured sequence and learning is broken into small, carefully sequenced steps to ensure understanding before moving on to support sustained progression over time. There is a clear progression of mathematical concepts from EYFS to Year 6. In Early Years, the concepts from the White Rose Maths scheme are incorporated into continuous provision. </w:t>
      </w:r>
    </w:p>
    <w:p w:rsidR="00000000" w:rsidDel="00000000" w:rsidP="00000000" w:rsidRDefault="00000000" w:rsidRPr="00000000" w14:paraId="00000011">
      <w:pPr>
        <w:widowControl w:val="0"/>
        <w:ind w:left="0" w:firstLine="0"/>
        <w:rPr>
          <w:sz w:val="20"/>
          <w:szCs w:val="20"/>
        </w:rPr>
      </w:pPr>
      <w:r w:rsidDel="00000000" w:rsidR="00000000" w:rsidRPr="00000000">
        <w:rPr>
          <w:rtl w:val="0"/>
        </w:rPr>
      </w:r>
    </w:p>
    <w:p w:rsidR="00000000" w:rsidDel="00000000" w:rsidP="00000000" w:rsidRDefault="00000000" w:rsidRPr="00000000" w14:paraId="00000012">
      <w:pPr>
        <w:widowControl w:val="0"/>
        <w:ind w:left="0" w:firstLine="0"/>
        <w:rPr>
          <w:sz w:val="20"/>
          <w:szCs w:val="20"/>
        </w:rPr>
      </w:pPr>
      <w:r w:rsidDel="00000000" w:rsidR="00000000" w:rsidRPr="00000000">
        <w:rPr>
          <w:sz w:val="20"/>
          <w:szCs w:val="20"/>
          <w:rtl w:val="0"/>
        </w:rPr>
        <w:t xml:space="preserve">Maths lessons are engaging, practical, and purposeful. Fluency, reasoning, and problem-solving are embedded in every lesson. Teachers use precise mathematical language, clear modelling, representations, and variation to highlight mathematical structures. Pupils work together on the same core concepts, with support and challenge provided through scaffolding and depth, not acceleration. Assessment is used formatively to identify misconceptions and inform next steps. We aim to develop resilience and confidence, where mistakes are valued as part of the learning process. Teachers represent mathematics in multiple ways using concrete, pictorial, and abstract (CPA) approaches to support conceptual understanding. Oracy is at the heart of our Maths lessons. Pupils are encouraged to explain their thinking, justify their answers, and use precise mathematical vocabulary. Stem sentences and sentence stems are used to support this. Teachers use high quality questioning to elicit feedback from pupils.</w:t>
      </w:r>
    </w:p>
    <w:p w:rsidR="00000000" w:rsidDel="00000000" w:rsidP="00000000" w:rsidRDefault="00000000" w:rsidRPr="00000000" w14:paraId="00000013">
      <w:pPr>
        <w:widowControl w:val="0"/>
        <w:ind w:left="0" w:firstLine="0"/>
        <w:rPr>
          <w:sz w:val="20"/>
          <w:szCs w:val="20"/>
        </w:rPr>
      </w:pPr>
      <w:r w:rsidDel="00000000" w:rsidR="00000000" w:rsidRPr="00000000">
        <w:rPr>
          <w:rtl w:val="0"/>
        </w:rPr>
      </w:r>
    </w:p>
    <w:p w:rsidR="00000000" w:rsidDel="00000000" w:rsidP="00000000" w:rsidRDefault="00000000" w:rsidRPr="00000000" w14:paraId="00000014">
      <w:pPr>
        <w:rPr>
          <w:b w:val="1"/>
          <w:bCs w:val="1"/>
          <w:sz w:val="20"/>
          <w:szCs w:val="20"/>
          <w:u w:val="single"/>
        </w:rPr>
      </w:pPr>
      <w:r w:rsidDel="00000000" w:rsidR="00000000" w:rsidRPr="00000000">
        <w:rPr>
          <w:rtl w:val="0"/>
        </w:rPr>
      </w:r>
    </w:p>
    <w:p w:rsidR="00000000" w:rsidDel="00000000" w:rsidP="00000000" w:rsidRDefault="00000000" w:rsidRPr="00000000" w14:paraId="00000015">
      <w:pPr>
        <w:rPr>
          <w:b w:val="1"/>
          <w:bCs w:val="1"/>
          <w:sz w:val="20"/>
          <w:szCs w:val="20"/>
          <w:u w:val="single"/>
        </w:rPr>
      </w:pPr>
      <w:r w:rsidDel="00000000" w:rsidR="00000000" w:rsidRPr="00000000">
        <w:rPr>
          <w:b w:val="1"/>
          <w:bCs w:val="1"/>
          <w:sz w:val="20"/>
          <w:szCs w:val="20"/>
          <w:u w:val="single"/>
          <w:rtl w:val="0"/>
        </w:rPr>
        <w:t xml:space="preserve">Impact </w:t>
      </w:r>
    </w:p>
    <w:p w:rsidR="00000000" w:rsidDel="00000000" w:rsidP="00000000" w:rsidRDefault="00000000" w:rsidRPr="00000000" w14:paraId="00000016">
      <w:pPr>
        <w:rPr>
          <w:b w:val="1"/>
          <w:bCs w:val="1"/>
          <w:sz w:val="20"/>
          <w:szCs w:val="20"/>
          <w:u w:val="single"/>
        </w:rPr>
      </w:pPr>
      <w:r w:rsidDel="00000000" w:rsidR="00000000" w:rsidRPr="00000000">
        <w:rPr>
          <w:rtl w:val="0"/>
        </w:rPr>
      </w:r>
    </w:p>
    <w:p w:rsidR="00000000" w:rsidDel="00000000" w:rsidP="00000000" w:rsidRDefault="00000000" w:rsidRPr="00000000" w14:paraId="00000017">
      <w:pPr>
        <w:widowControl w:val="0"/>
        <w:ind w:left="0" w:firstLine="0"/>
        <w:rPr>
          <w:sz w:val="20"/>
          <w:szCs w:val="20"/>
        </w:rPr>
      </w:pPr>
      <w:r w:rsidDel="00000000" w:rsidR="00000000" w:rsidRPr="00000000">
        <w:rPr>
          <w:sz w:val="20"/>
          <w:szCs w:val="20"/>
          <w:rtl w:val="0"/>
        </w:rPr>
        <w:t xml:space="preserve">Pupils develop secure understanding of mathematical concepts and can confidently apply their knowledge in different contexts. Children can reason mathematically, explain their thinking and use accurate mathematical vocabulary. Gaps in learning are identified and addressed quickly, enabling pupils to keep up. Pupils show positive attitudes, resilience, and enjoyment in mathematics. Outcomes reflect strong progress and attainment, preparing pupils well for the next stage of their education. </w:t>
      </w:r>
    </w:p>
    <w:p w:rsidR="00000000" w:rsidDel="00000000" w:rsidP="00000000" w:rsidRDefault="00000000" w:rsidRPr="00000000" w14:paraId="00000018">
      <w:pPr>
        <w:widowControl w:val="0"/>
        <w:ind w:left="0" w:firstLine="0"/>
        <w:rPr>
          <w:sz w:val="20"/>
          <w:szCs w:val="20"/>
        </w:rPr>
      </w:pPr>
      <w:r w:rsidDel="00000000" w:rsidR="00000000" w:rsidRPr="00000000">
        <w:rPr>
          <w:rtl w:val="0"/>
        </w:rPr>
      </w:r>
    </w:p>
    <w:p w:rsidR="00000000" w:rsidDel="00000000" w:rsidP="00000000" w:rsidRDefault="00000000" w:rsidRPr="00000000" w14:paraId="00000019">
      <w:pPr>
        <w:widowControl w:val="0"/>
        <w:ind w:left="0" w:firstLine="0"/>
        <w:rPr>
          <w:sz w:val="20"/>
          <w:szCs w:val="20"/>
        </w:rPr>
      </w:pPr>
      <w:r w:rsidDel="00000000" w:rsidR="00000000" w:rsidRPr="00000000">
        <w:rPr>
          <w:sz w:val="20"/>
          <w:szCs w:val="20"/>
          <w:rtl w:val="0"/>
        </w:rPr>
        <w:t xml:space="preserve">We ensure that pupils are well-prepared for national assessments, with results consistently above national averages. The focus on oracy and speaking, and listening skills from EYFS ensures that pupils are engaging in mathematical discussions and articulating their thought processes effectively.</w:t>
      </w:r>
    </w:p>
    <w:sectPr>
      <w:headerReference r:id="rId7" w:type="default"/>
      <w:pgSz w:h="16834" w:w="11909" w:orient="portrait"/>
      <w:pgMar w:bottom="239.64566929134207" w:top="708.661417322834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b w:val="1"/>
        <w:bCs w:val="1"/>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4505325</wp:posOffset>
          </wp:positionH>
          <wp:positionV relativeFrom="paragraph">
            <wp:posOffset>-104774</wp:posOffset>
          </wp:positionV>
          <wp:extent cx="890588" cy="890588"/>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90588" cy="8905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5uWn2+sLgZreZNba2dRj6D5kvA==">CgMxLjA4AHIhMVJCc3ZUNzlrM1RuSE81WG9tNzBvd3YyMTQyUjBtSDBx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