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Geography at Hollingwood </w:t>
      </w:r>
    </w:p>
    <w:p w:rsidR="00000000" w:rsidDel="00000000" w:rsidP="00000000" w:rsidRDefault="00000000" w:rsidRPr="00000000" w14:paraId="00000002">
      <w:pPr>
        <w:rPr>
          <w:b w:val="1"/>
          <w:bCs w:val="1"/>
          <w:sz w:val="20"/>
          <w:szCs w:val="20"/>
          <w:u w:val="single"/>
        </w:rPr>
      </w:pPr>
      <w:r w:rsidDel="00000000" w:rsidR="00000000" w:rsidRPr="00000000">
        <w:rPr>
          <w:rtl w:val="0"/>
        </w:rPr>
      </w:r>
    </w:p>
    <w:p w:rsidR="00000000" w:rsidDel="00000000" w:rsidP="00000000" w:rsidRDefault="00000000" w:rsidRPr="00000000" w14:paraId="00000003">
      <w:pPr>
        <w:rPr>
          <w:i w:val="1"/>
          <w:iCs w:val="1"/>
          <w:sz w:val="20"/>
          <w:szCs w:val="20"/>
        </w:rPr>
      </w:pPr>
      <w:r w:rsidDel="00000000" w:rsidR="00000000" w:rsidRPr="00000000">
        <w:rPr>
          <w:rtl w:val="0"/>
        </w:rPr>
      </w:r>
    </w:p>
    <w:p w:rsidR="00000000" w:rsidDel="00000000" w:rsidP="00000000" w:rsidRDefault="00000000" w:rsidRPr="00000000" w14:paraId="00000004">
      <w:pPr>
        <w:rPr>
          <w:b w:val="1"/>
          <w:bCs w:val="1"/>
          <w:sz w:val="20"/>
          <w:szCs w:val="20"/>
          <w:u w:val="single"/>
        </w:rPr>
      </w:pPr>
      <w:r w:rsidDel="00000000" w:rsidR="00000000" w:rsidRPr="00000000">
        <w:rPr>
          <w:rtl w:val="0"/>
        </w:rPr>
      </w:r>
    </w:p>
    <w:p w:rsidR="00000000" w:rsidDel="00000000" w:rsidP="00000000" w:rsidRDefault="00000000" w:rsidRPr="00000000" w14:paraId="00000005">
      <w:pPr>
        <w:rPr>
          <w:b w:val="1"/>
          <w:bCs w:val="1"/>
          <w:sz w:val="24"/>
          <w:szCs w:val="24"/>
          <w:u w:val="single"/>
        </w:rPr>
      </w:pPr>
      <w:r w:rsidDel="00000000" w:rsidR="00000000" w:rsidRPr="00000000">
        <w:rPr>
          <w:rtl w:val="0"/>
        </w:rPr>
      </w:r>
    </w:p>
    <w:p w:rsidR="00000000" w:rsidDel="00000000" w:rsidP="00000000" w:rsidRDefault="00000000" w:rsidRPr="00000000" w14:paraId="00000006">
      <w:pPr>
        <w:spacing w:after="160" w:line="276" w:lineRule="auto"/>
        <w:rPr>
          <w:b w:val="1"/>
          <w:bCs w:val="1"/>
          <w:sz w:val="20"/>
          <w:szCs w:val="20"/>
          <w:u w:val="single"/>
        </w:rPr>
      </w:pPr>
      <w:r w:rsidDel="00000000" w:rsidR="00000000" w:rsidRPr="00000000">
        <w:rPr>
          <w:b w:val="1"/>
          <w:bCs w:val="1"/>
          <w:sz w:val="20"/>
          <w:szCs w:val="20"/>
          <w:u w:val="single"/>
          <w:rtl w:val="0"/>
        </w:rPr>
        <w:t xml:space="preserve">Intent</w:t>
      </w:r>
    </w:p>
    <w:p w:rsidR="00000000" w:rsidDel="00000000" w:rsidP="00000000" w:rsidRDefault="00000000" w:rsidRPr="00000000" w14:paraId="00000007">
      <w:pPr>
        <w:spacing w:after="160" w:line="276" w:lineRule="auto"/>
        <w:rPr>
          <w:sz w:val="20"/>
          <w:szCs w:val="20"/>
        </w:rPr>
      </w:pPr>
      <w:r w:rsidDel="00000000" w:rsidR="00000000" w:rsidRPr="00000000">
        <w:rPr>
          <w:sz w:val="20"/>
          <w:szCs w:val="20"/>
          <w:rtl w:val="0"/>
        </w:rPr>
        <w:t xml:space="preserve">Our geography curriculum inspires curiosity about the world through a reading-led approach. Children explore diverse places, environments, and cultures, building knowledge of human and physical geography, geographical vocabulary and global awareness. We aim for children to develop critical thinking, enquiry skills and a sense of responsibility for the planet, alongside a love of learning through high-quality texts.</w:t>
      </w:r>
    </w:p>
    <w:p w:rsidR="00000000" w:rsidDel="00000000" w:rsidP="00000000" w:rsidRDefault="00000000" w:rsidRPr="00000000" w14:paraId="00000008">
      <w:pPr>
        <w:spacing w:after="160" w:line="276" w:lineRule="auto"/>
        <w:rPr>
          <w:sz w:val="20"/>
          <w:szCs w:val="20"/>
        </w:rPr>
      </w:pPr>
      <w:r w:rsidDel="00000000" w:rsidR="00000000" w:rsidRPr="00000000">
        <w:rPr>
          <w:b w:val="1"/>
          <w:bCs w:val="1"/>
          <w:sz w:val="20"/>
          <w:szCs w:val="20"/>
          <w:u w:val="single"/>
          <w:rtl w:val="0"/>
        </w:rPr>
        <w:t xml:space="preserve">Implementation</w:t>
      </w:r>
      <w:r w:rsidDel="00000000" w:rsidR="00000000" w:rsidRPr="00000000">
        <w:rPr>
          <w:rtl w:val="0"/>
        </w:rPr>
      </w:r>
    </w:p>
    <w:p w:rsidR="00000000" w:rsidDel="00000000" w:rsidP="00000000" w:rsidRDefault="00000000" w:rsidRPr="00000000" w14:paraId="00000009">
      <w:pPr>
        <w:spacing w:after="160" w:line="276" w:lineRule="auto"/>
        <w:rPr>
          <w:color w:val="222222"/>
          <w:sz w:val="20"/>
          <w:szCs w:val="20"/>
          <w:highlight w:val="white"/>
        </w:rPr>
      </w:pPr>
      <w:r w:rsidDel="00000000" w:rsidR="00000000" w:rsidRPr="00000000">
        <w:rPr>
          <w:color w:val="222222"/>
          <w:sz w:val="20"/>
          <w:szCs w:val="20"/>
          <w:highlight w:val="white"/>
          <w:rtl w:val="0"/>
        </w:rPr>
        <w:t xml:space="preserve">Our geography curriculum is implemented through a bespoke programme designed specifically for Hollingwood and aligned with the expectations of the National Curriculum. In Early Years, learning begins with </w:t>
      </w:r>
      <w:r w:rsidDel="00000000" w:rsidR="00000000" w:rsidRPr="00000000">
        <w:rPr>
          <w:i w:val="1"/>
          <w:iCs w:val="1"/>
          <w:color w:val="222222"/>
          <w:sz w:val="20"/>
          <w:szCs w:val="20"/>
          <w:highlight w:val="white"/>
          <w:rtl w:val="0"/>
        </w:rPr>
        <w:t xml:space="preserve">Understanding the World</w:t>
      </w:r>
      <w:r w:rsidDel="00000000" w:rsidR="00000000" w:rsidRPr="00000000">
        <w:rPr>
          <w:color w:val="222222"/>
          <w:sz w:val="20"/>
          <w:szCs w:val="20"/>
          <w:highlight w:val="white"/>
          <w:rtl w:val="0"/>
        </w:rPr>
        <w:t xml:space="preserve">, enabling children to explore their immediate environment and develop early geographical awareness. As pupils move through school, they study continents, oceans, the local area and North America, before embarking on a broader “trip around the world” in Key Stage 2. Each unit is rooted in our reading‑inspired curriculum, built on the principle that high‑quality texts rich in language and ideas are powerful drivers of learning. </w:t>
      </w:r>
    </w:p>
    <w:p w:rsidR="00000000" w:rsidDel="00000000" w:rsidP="00000000" w:rsidRDefault="00000000" w:rsidRPr="00000000" w14:paraId="0000000A">
      <w:pPr>
        <w:spacing w:after="160" w:line="276" w:lineRule="auto"/>
        <w:rPr>
          <w:b w:val="1"/>
          <w:bCs w:val="1"/>
          <w:sz w:val="20"/>
          <w:szCs w:val="20"/>
          <w:u w:val="single"/>
        </w:rPr>
      </w:pPr>
      <w:r w:rsidDel="00000000" w:rsidR="00000000" w:rsidRPr="00000000">
        <w:rPr>
          <w:color w:val="222222"/>
          <w:sz w:val="20"/>
          <w:szCs w:val="20"/>
          <w:highlight w:val="white"/>
          <w:rtl w:val="0"/>
        </w:rPr>
        <w:t xml:space="preserve">In geography, carefully chosen texts with strong narratives and illustrations form the foundation for knowledge acquisition and conceptual understanding. Across all year groups, teaching focuses on developing pupils’ understanding of human and physical features and processes, supported by Hollingwood’s seven key geographical concepts: location, physical features, physical processes, human features, human processes, diversity and technique. Fieldwork is a central strand of our implementation, with a clear progression from Early Years to Year 6 that enables pupils to observe, measure, record and interpret the world around them.</w:t>
      </w:r>
      <w:r w:rsidDel="00000000" w:rsidR="00000000" w:rsidRPr="00000000">
        <w:rPr>
          <w:rtl w:val="0"/>
        </w:rPr>
      </w:r>
    </w:p>
    <w:p w:rsidR="00000000" w:rsidDel="00000000" w:rsidP="00000000" w:rsidRDefault="00000000" w:rsidRPr="00000000" w14:paraId="0000000B">
      <w:pPr>
        <w:spacing w:after="160" w:line="276" w:lineRule="auto"/>
        <w:rPr>
          <w:b w:val="1"/>
          <w:bCs w:val="1"/>
          <w:sz w:val="20"/>
          <w:szCs w:val="20"/>
          <w:u w:val="single"/>
        </w:rPr>
      </w:pPr>
      <w:r w:rsidDel="00000000" w:rsidR="00000000" w:rsidRPr="00000000">
        <w:rPr>
          <w:b w:val="1"/>
          <w:bCs w:val="1"/>
          <w:sz w:val="20"/>
          <w:szCs w:val="20"/>
          <w:u w:val="single"/>
          <w:rtl w:val="0"/>
        </w:rPr>
        <w:t xml:space="preserve">Impact</w:t>
      </w:r>
    </w:p>
    <w:p w:rsidR="00000000" w:rsidDel="00000000" w:rsidP="00000000" w:rsidRDefault="00000000" w:rsidRPr="00000000" w14:paraId="0000000C">
      <w:pPr>
        <w:spacing w:line="276" w:lineRule="auto"/>
        <w:rPr>
          <w:sz w:val="20"/>
          <w:szCs w:val="20"/>
        </w:rPr>
      </w:pPr>
      <w:r w:rsidDel="00000000" w:rsidR="00000000" w:rsidRPr="00000000">
        <w:rPr>
          <w:sz w:val="20"/>
          <w:szCs w:val="20"/>
          <w:rtl w:val="0"/>
        </w:rPr>
        <w:t xml:space="preserve">Geography is taught using stories, texts, and reading-based activities to make learning engaging and memorable. Pupils take part in enquiry, discussion, fieldwork, and practical tasks to develop map skills, data interpretation, and observation techniques. Lessons connect local, national, and global contexts, enabling pupils to apply knowledge, explore real-world issues, and understand human-environment interactions.</w:t>
      </w:r>
    </w:p>
    <w:p w:rsidR="00000000" w:rsidDel="00000000" w:rsidP="00000000" w:rsidRDefault="00000000" w:rsidRPr="00000000" w14:paraId="0000000D">
      <w:pPr>
        <w:spacing w:line="276" w:lineRule="auto"/>
        <w:rPr>
          <w:sz w:val="20"/>
          <w:szCs w:val="20"/>
        </w:rPr>
      </w:pPr>
      <w:r w:rsidDel="00000000" w:rsidR="00000000" w:rsidRPr="00000000">
        <w:rPr>
          <w:rtl w:val="0"/>
        </w:rPr>
      </w:r>
    </w:p>
    <w:p w:rsidR="00000000" w:rsidDel="00000000" w:rsidP="00000000" w:rsidRDefault="00000000" w:rsidRPr="00000000" w14:paraId="0000000E">
      <w:pPr>
        <w:spacing w:line="276" w:lineRule="auto"/>
        <w:rPr>
          <w:sz w:val="20"/>
          <w:szCs w:val="20"/>
        </w:rPr>
      </w:pPr>
      <w:r w:rsidDel="00000000" w:rsidR="00000000" w:rsidRPr="00000000">
        <w:rPr>
          <w:rtl w:val="0"/>
        </w:rPr>
      </w:r>
    </w:p>
    <w:p w:rsidR="00000000" w:rsidDel="00000000" w:rsidP="00000000" w:rsidRDefault="00000000" w:rsidRPr="00000000" w14:paraId="0000000F">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10">
      <w:pPr>
        <w:spacing w:line="276" w:lineRule="auto"/>
        <w:ind w:left="720" w:firstLine="0"/>
        <w:rPr>
          <w:sz w:val="20"/>
          <w:szCs w:val="20"/>
        </w:rPr>
      </w:pPr>
      <w:r w:rsidDel="00000000" w:rsidR="00000000" w:rsidRPr="00000000">
        <w:rPr>
          <w:rtl w:val="0"/>
        </w:rPr>
      </w:r>
    </w:p>
    <w:p w:rsidR="00000000" w:rsidDel="00000000" w:rsidP="00000000" w:rsidRDefault="00000000" w:rsidRPr="00000000" w14:paraId="00000011">
      <w:pPr>
        <w:spacing w:line="276" w:lineRule="auto"/>
        <w:ind w:left="720" w:firstLine="0"/>
        <w:rPr>
          <w:sz w:val="20"/>
          <w:szCs w:val="20"/>
        </w:rPr>
      </w:pPr>
      <w:r w:rsidDel="00000000" w:rsidR="00000000" w:rsidRPr="00000000">
        <w:rPr>
          <w:rtl w:val="0"/>
        </w:rPr>
      </w:r>
    </w:p>
    <w:p w:rsidR="00000000" w:rsidDel="00000000" w:rsidP="00000000" w:rsidRDefault="00000000" w:rsidRPr="00000000" w14:paraId="00000012">
      <w:pPr>
        <w:widowControl w:val="0"/>
        <w:ind w:left="0" w:firstLine="0"/>
        <w:rPr>
          <w:b w:val="1"/>
          <w:bCs w:val="1"/>
          <w:sz w:val="20"/>
          <w:szCs w:val="20"/>
          <w:u w:val="single"/>
        </w:rPr>
      </w:pPr>
      <w:r w:rsidDel="00000000" w:rsidR="00000000" w:rsidRPr="00000000">
        <w:rPr>
          <w:rtl w:val="0"/>
        </w:rPr>
      </w:r>
    </w:p>
    <w:sectPr>
      <w:headerReference r:id="rId7" w:type="default"/>
      <w:pgSz w:h="16834" w:w="11909" w:orient="portrait"/>
      <w:pgMar w:bottom="239.64566929134207"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4505325</wp:posOffset>
          </wp:positionH>
          <wp:positionV relativeFrom="paragraph">
            <wp:posOffset>-104773</wp:posOffset>
          </wp:positionV>
          <wp:extent cx="890588" cy="8905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90588" cy="8905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PvrrB76ClP7tJfd50drJNz5oUg==">CgMxLjA4AHIhMWxuMkcxYk5lOXA1TXM1SXQxRzlleFNxNm1LeDItc2FG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