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Science at Hollingwood </w:t>
      </w:r>
    </w:p>
    <w:p w:rsidR="00000000" w:rsidDel="00000000" w:rsidP="00000000" w:rsidRDefault="00000000" w:rsidRPr="00000000" w14:paraId="00000002">
      <w:pPr>
        <w:jc w:val="center"/>
        <w:rPr>
          <w:b w:val="1"/>
          <w:bCs w:val="1"/>
          <w:sz w:val="24"/>
          <w:szCs w:val="24"/>
        </w:rPr>
      </w:pPr>
      <w:r w:rsidDel="00000000" w:rsidR="00000000" w:rsidRPr="00000000">
        <w:rPr>
          <w:rtl w:val="0"/>
        </w:rPr>
      </w:r>
    </w:p>
    <w:p w:rsidR="00000000" w:rsidDel="00000000" w:rsidP="00000000" w:rsidRDefault="00000000" w:rsidRPr="00000000" w14:paraId="00000003">
      <w:pPr>
        <w:spacing w:after="160" w:line="276" w:lineRule="auto"/>
        <w:rPr>
          <w:sz w:val="20"/>
          <w:szCs w:val="20"/>
        </w:rPr>
      </w:pP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b w:val="1"/>
          <w:bCs w:val="1"/>
          <w:color w:val="000000"/>
          <w:sz w:val="20"/>
          <w:szCs w:val="20"/>
          <w:u w:val="single"/>
        </w:rPr>
      </w:pPr>
      <w:bookmarkStart w:colFirst="0" w:colLast="0" w:name="_heading=h.gwlxke25yg17" w:id="0"/>
      <w:bookmarkEnd w:id="0"/>
      <w:r w:rsidDel="00000000" w:rsidR="00000000" w:rsidRPr="00000000">
        <w:rPr>
          <w:b w:val="1"/>
          <w:bCs w:val="1"/>
          <w:color w:val="000000"/>
          <w:sz w:val="20"/>
          <w:szCs w:val="20"/>
          <w:u w:val="single"/>
          <w:rtl w:val="0"/>
        </w:rPr>
        <w:t xml:space="preserve">Intent</w:t>
      </w:r>
    </w:p>
    <w:p w:rsidR="00000000" w:rsidDel="00000000" w:rsidP="00000000" w:rsidRDefault="00000000" w:rsidRPr="00000000" w14:paraId="00000005">
      <w:pPr>
        <w:spacing w:after="240" w:before="240" w:lineRule="auto"/>
        <w:rPr>
          <w:sz w:val="20"/>
          <w:szCs w:val="20"/>
        </w:rPr>
      </w:pPr>
      <w:r w:rsidDel="00000000" w:rsidR="00000000" w:rsidRPr="00000000">
        <w:rPr>
          <w:sz w:val="20"/>
          <w:szCs w:val="20"/>
          <w:rtl w:val="0"/>
        </w:rPr>
        <w:t xml:space="preserve">Our science curriculum is ambitious and coherently planned to develop pupils’ curiosity, deepen their understanding of the world, and secure the substantive and disciplinary knowledge they need to think scientifically. It enables pupils to build a strong foundation of key concepts, vocabulary, and enquiry skills so they leave primary school as confident, motivated learners who can question, investigate, and explain scientific ideas with increasing independence. The curriculum ensures all children, including those who are disadvantaged or have SEND, can achieve well.</w:t>
      </w:r>
    </w:p>
    <w:p w:rsidR="00000000" w:rsidDel="00000000" w:rsidP="00000000" w:rsidRDefault="00000000" w:rsidRPr="00000000" w14:paraId="00000006">
      <w:pPr>
        <w:pStyle w:val="Heading3"/>
        <w:keepNext w:val="0"/>
        <w:keepLines w:val="0"/>
        <w:spacing w:before="280" w:lineRule="auto"/>
        <w:rPr>
          <w:b w:val="1"/>
          <w:bCs w:val="1"/>
          <w:color w:val="000000"/>
          <w:sz w:val="20"/>
          <w:szCs w:val="20"/>
          <w:u w:val="single"/>
        </w:rPr>
      </w:pPr>
      <w:bookmarkStart w:colFirst="0" w:colLast="0" w:name="_heading=h.a562mg3515j8" w:id="1"/>
      <w:bookmarkEnd w:id="1"/>
      <w:r w:rsidDel="00000000" w:rsidR="00000000" w:rsidRPr="00000000">
        <w:rPr>
          <w:b w:val="1"/>
          <w:bCs w:val="1"/>
          <w:color w:val="000000"/>
          <w:sz w:val="20"/>
          <w:szCs w:val="20"/>
          <w:u w:val="single"/>
          <w:rtl w:val="0"/>
        </w:rPr>
        <w:t xml:space="preserve">Implementation</w:t>
      </w:r>
    </w:p>
    <w:p w:rsidR="00000000" w:rsidDel="00000000" w:rsidP="00000000" w:rsidRDefault="00000000" w:rsidRPr="00000000" w14:paraId="00000007">
      <w:pPr>
        <w:pStyle w:val="Heading4"/>
        <w:keepNext w:val="0"/>
        <w:keepLines w:val="0"/>
        <w:spacing w:after="40" w:before="240" w:lineRule="auto"/>
        <w:rPr>
          <w:b w:val="1"/>
          <w:bCs w:val="1"/>
          <w:color w:val="000000"/>
          <w:sz w:val="20"/>
          <w:szCs w:val="20"/>
        </w:rPr>
      </w:pPr>
      <w:bookmarkStart w:colFirst="0" w:colLast="0" w:name="_heading=h.i2cqcs981xsm" w:id="2"/>
      <w:bookmarkEnd w:id="2"/>
      <w:r w:rsidDel="00000000" w:rsidR="00000000" w:rsidRPr="00000000">
        <w:rPr>
          <w:b w:val="1"/>
          <w:bCs w:val="1"/>
          <w:color w:val="000000"/>
          <w:sz w:val="20"/>
          <w:szCs w:val="20"/>
          <w:rtl w:val="0"/>
        </w:rPr>
        <w:t xml:space="preserve">Curriculum Design</w:t>
      </w:r>
    </w:p>
    <w:p w:rsidR="00000000" w:rsidDel="00000000" w:rsidP="00000000" w:rsidRDefault="00000000" w:rsidRPr="00000000" w14:paraId="00000008">
      <w:pPr>
        <w:numPr>
          <w:ilvl w:val="0"/>
          <w:numId w:val="5"/>
        </w:numPr>
        <w:spacing w:before="240" w:lineRule="auto"/>
        <w:ind w:left="720" w:hanging="360"/>
        <w:rPr>
          <w:sz w:val="20"/>
          <w:szCs w:val="20"/>
        </w:rPr>
      </w:pPr>
      <w:r w:rsidDel="00000000" w:rsidR="00000000" w:rsidRPr="00000000">
        <w:rPr>
          <w:sz w:val="20"/>
          <w:szCs w:val="20"/>
          <w:rtl w:val="0"/>
        </w:rPr>
        <w:t xml:space="preserve">The curriculum is carefully sequenced to ensure full coverage of the National Curriculum and a clear progression of knowledge and concepts from Early Years to Year 6.</w:t>
      </w:r>
    </w:p>
    <w:p w:rsidR="00000000" w:rsidDel="00000000" w:rsidP="00000000" w:rsidRDefault="00000000" w:rsidRPr="00000000" w14:paraId="00000009">
      <w:pPr>
        <w:numPr>
          <w:ilvl w:val="0"/>
          <w:numId w:val="5"/>
        </w:numPr>
        <w:ind w:left="720" w:hanging="360"/>
        <w:rPr>
          <w:sz w:val="20"/>
          <w:szCs w:val="20"/>
        </w:rPr>
      </w:pPr>
      <w:r w:rsidDel="00000000" w:rsidR="00000000" w:rsidRPr="00000000">
        <w:rPr>
          <w:sz w:val="20"/>
          <w:szCs w:val="20"/>
          <w:rtl w:val="0"/>
        </w:rPr>
        <w:t xml:space="preserve">Prior learning is systematically revisited to strengthen long‑term retention and deepen understanding.</w:t>
      </w:r>
    </w:p>
    <w:p w:rsidR="00000000" w:rsidDel="00000000" w:rsidP="00000000" w:rsidRDefault="00000000" w:rsidRPr="00000000" w14:paraId="0000000A">
      <w:pPr>
        <w:numPr>
          <w:ilvl w:val="0"/>
          <w:numId w:val="5"/>
        </w:numPr>
        <w:ind w:left="720" w:hanging="360"/>
        <w:rPr>
          <w:sz w:val="20"/>
          <w:szCs w:val="20"/>
        </w:rPr>
      </w:pPr>
      <w:r w:rsidDel="00000000" w:rsidR="00000000" w:rsidRPr="00000000">
        <w:rPr>
          <w:sz w:val="20"/>
          <w:szCs w:val="20"/>
          <w:rtl w:val="0"/>
        </w:rPr>
        <w:t xml:space="preserve">Scientific vocabulary and key concepts are explicitly taught and continually reinforced.</w:t>
      </w:r>
    </w:p>
    <w:p w:rsidR="00000000" w:rsidDel="00000000" w:rsidP="00000000" w:rsidRDefault="00000000" w:rsidRPr="00000000" w14:paraId="0000000B">
      <w:pPr>
        <w:numPr>
          <w:ilvl w:val="0"/>
          <w:numId w:val="5"/>
        </w:numPr>
        <w:spacing w:after="240" w:lineRule="auto"/>
        <w:ind w:left="720" w:hanging="360"/>
        <w:rPr>
          <w:sz w:val="20"/>
          <w:szCs w:val="20"/>
        </w:rPr>
      </w:pPr>
      <w:r w:rsidDel="00000000" w:rsidR="00000000" w:rsidRPr="00000000">
        <w:rPr>
          <w:sz w:val="20"/>
          <w:szCs w:val="20"/>
          <w:rtl w:val="0"/>
        </w:rPr>
        <w:t xml:space="preserve">High‑quality texts underpin learning, reflecting our reading‑inspired curriculum principle that rich language and well‑chosen literature strengthen pupils’ knowledge, understanding, and engagement.</w:t>
      </w:r>
      <w:r w:rsidDel="00000000" w:rsidR="00000000" w:rsidRPr="00000000">
        <w:rPr>
          <w:rtl w:val="0"/>
        </w:rPr>
      </w:r>
    </w:p>
    <w:p w:rsidR="00000000" w:rsidDel="00000000" w:rsidP="00000000" w:rsidRDefault="00000000" w:rsidRPr="00000000" w14:paraId="0000000C">
      <w:pPr>
        <w:pStyle w:val="Heading4"/>
        <w:keepNext w:val="0"/>
        <w:keepLines w:val="0"/>
        <w:spacing w:after="40" w:before="240" w:lineRule="auto"/>
        <w:rPr>
          <w:b w:val="1"/>
          <w:bCs w:val="1"/>
          <w:color w:val="000000"/>
          <w:sz w:val="20"/>
          <w:szCs w:val="20"/>
        </w:rPr>
      </w:pPr>
      <w:bookmarkStart w:colFirst="0" w:colLast="0" w:name="_heading=h.fnwxhs9yowij" w:id="3"/>
      <w:bookmarkEnd w:id="3"/>
      <w:r w:rsidDel="00000000" w:rsidR="00000000" w:rsidRPr="00000000">
        <w:rPr>
          <w:b w:val="1"/>
          <w:bCs w:val="1"/>
          <w:color w:val="000000"/>
          <w:sz w:val="20"/>
          <w:szCs w:val="20"/>
          <w:rtl w:val="0"/>
        </w:rPr>
        <w:t xml:space="preserve">Teaching and Learning</w:t>
      </w:r>
    </w:p>
    <w:p w:rsidR="00000000" w:rsidDel="00000000" w:rsidP="00000000" w:rsidRDefault="00000000" w:rsidRPr="00000000" w14:paraId="0000000D">
      <w:pPr>
        <w:numPr>
          <w:ilvl w:val="0"/>
          <w:numId w:val="4"/>
        </w:numPr>
        <w:spacing w:before="240" w:lineRule="auto"/>
        <w:ind w:left="720" w:hanging="360"/>
        <w:rPr>
          <w:sz w:val="20"/>
          <w:szCs w:val="20"/>
        </w:rPr>
      </w:pPr>
      <w:r w:rsidDel="00000000" w:rsidR="00000000" w:rsidRPr="00000000">
        <w:rPr>
          <w:sz w:val="20"/>
          <w:szCs w:val="20"/>
          <w:rtl w:val="0"/>
        </w:rPr>
        <w:t xml:space="preserve">Lessons combine high‑quality texts, structured discussion, practical investigation, and opportunities for independent enquiry, ensuring pupils develop both substantive and disciplinary knowledge.</w:t>
      </w:r>
    </w:p>
    <w:p w:rsidR="00000000" w:rsidDel="00000000" w:rsidP="00000000" w:rsidRDefault="00000000" w:rsidRPr="00000000" w14:paraId="0000000E">
      <w:pPr>
        <w:numPr>
          <w:ilvl w:val="0"/>
          <w:numId w:val="4"/>
        </w:numPr>
        <w:ind w:left="720" w:hanging="360"/>
        <w:rPr>
          <w:sz w:val="20"/>
          <w:szCs w:val="20"/>
        </w:rPr>
      </w:pPr>
      <w:r w:rsidDel="00000000" w:rsidR="00000000" w:rsidRPr="00000000">
        <w:rPr>
          <w:sz w:val="20"/>
          <w:szCs w:val="20"/>
          <w:rtl w:val="0"/>
        </w:rPr>
        <w:t xml:space="preserve">Teachers model scientific thinking, encouraging pupils to articulate their reasoning, challenge misconceptions, and evaluate evidence.</w:t>
      </w:r>
    </w:p>
    <w:p w:rsidR="00000000" w:rsidDel="00000000" w:rsidP="00000000" w:rsidRDefault="00000000" w:rsidRPr="00000000" w14:paraId="0000000F">
      <w:pPr>
        <w:numPr>
          <w:ilvl w:val="0"/>
          <w:numId w:val="4"/>
        </w:numPr>
        <w:ind w:left="720" w:hanging="360"/>
        <w:rPr>
          <w:sz w:val="20"/>
          <w:szCs w:val="20"/>
        </w:rPr>
      </w:pPr>
      <w:r w:rsidDel="00000000" w:rsidR="00000000" w:rsidRPr="00000000">
        <w:rPr>
          <w:sz w:val="20"/>
          <w:szCs w:val="20"/>
          <w:rtl w:val="0"/>
        </w:rPr>
        <w:t xml:space="preserve">Working scientifically skills are embedded throughout the curriculum so children learn to plan enquiries, use equipment accurately, record findings, and draw conclusions.</w:t>
      </w:r>
    </w:p>
    <w:p w:rsidR="00000000" w:rsidDel="00000000" w:rsidP="00000000" w:rsidRDefault="00000000" w:rsidRPr="00000000" w14:paraId="00000010">
      <w:pPr>
        <w:numPr>
          <w:ilvl w:val="0"/>
          <w:numId w:val="4"/>
        </w:numPr>
        <w:spacing w:after="240" w:lineRule="auto"/>
        <w:ind w:left="720" w:hanging="360"/>
        <w:rPr>
          <w:sz w:val="20"/>
          <w:szCs w:val="20"/>
        </w:rPr>
      </w:pPr>
      <w:r w:rsidDel="00000000" w:rsidR="00000000" w:rsidRPr="00000000">
        <w:rPr>
          <w:sz w:val="20"/>
          <w:szCs w:val="20"/>
          <w:rtl w:val="0"/>
        </w:rPr>
        <w:t xml:space="preserve">Misconceptions are identified and addressed promptly to secure accurate understanding.</w:t>
      </w:r>
    </w:p>
    <w:p w:rsidR="00000000" w:rsidDel="00000000" w:rsidP="00000000" w:rsidRDefault="00000000" w:rsidRPr="00000000" w14:paraId="00000011">
      <w:pPr>
        <w:pStyle w:val="Heading4"/>
        <w:keepNext w:val="0"/>
        <w:keepLines w:val="0"/>
        <w:spacing w:after="40" w:before="240" w:lineRule="auto"/>
        <w:rPr>
          <w:b w:val="1"/>
          <w:bCs w:val="1"/>
          <w:color w:val="000000"/>
          <w:sz w:val="20"/>
          <w:szCs w:val="20"/>
        </w:rPr>
      </w:pPr>
      <w:bookmarkStart w:colFirst="0" w:colLast="0" w:name="_heading=h.577bbz9vlgrd" w:id="4"/>
      <w:bookmarkEnd w:id="4"/>
      <w:r w:rsidDel="00000000" w:rsidR="00000000" w:rsidRPr="00000000">
        <w:rPr>
          <w:b w:val="1"/>
          <w:bCs w:val="1"/>
          <w:color w:val="000000"/>
          <w:sz w:val="20"/>
          <w:szCs w:val="20"/>
          <w:rtl w:val="0"/>
        </w:rPr>
        <w:t xml:space="preserve">Practical and Experiential Learning</w:t>
      </w:r>
    </w:p>
    <w:p w:rsidR="00000000" w:rsidDel="00000000" w:rsidP="00000000" w:rsidRDefault="00000000" w:rsidRPr="00000000" w14:paraId="00000012">
      <w:pPr>
        <w:numPr>
          <w:ilvl w:val="0"/>
          <w:numId w:val="3"/>
        </w:numPr>
        <w:spacing w:before="240" w:lineRule="auto"/>
        <w:ind w:left="720" w:hanging="360"/>
        <w:rPr>
          <w:sz w:val="20"/>
          <w:szCs w:val="20"/>
        </w:rPr>
      </w:pPr>
      <w:r w:rsidDel="00000000" w:rsidR="00000000" w:rsidRPr="00000000">
        <w:rPr>
          <w:sz w:val="20"/>
          <w:szCs w:val="20"/>
          <w:rtl w:val="0"/>
        </w:rPr>
        <w:t xml:space="preserve">Practical investigations are integral to learning, enabling children to test ideas, apply knowledge, and experience science first‑hand.</w:t>
      </w:r>
    </w:p>
    <w:p w:rsidR="00000000" w:rsidDel="00000000" w:rsidP="00000000" w:rsidRDefault="00000000" w:rsidRPr="00000000" w14:paraId="00000013">
      <w:pPr>
        <w:numPr>
          <w:ilvl w:val="0"/>
          <w:numId w:val="3"/>
        </w:numPr>
        <w:ind w:left="720" w:hanging="360"/>
        <w:rPr>
          <w:sz w:val="20"/>
          <w:szCs w:val="20"/>
        </w:rPr>
      </w:pPr>
      <w:r w:rsidDel="00000000" w:rsidR="00000000" w:rsidRPr="00000000">
        <w:rPr>
          <w:sz w:val="20"/>
          <w:szCs w:val="20"/>
          <w:rtl w:val="0"/>
        </w:rPr>
        <w:t xml:space="preserve">Outdoor learning, local habitats, and the school grounds provide meaningful real‑world contexts that enhance understanding.</w:t>
      </w:r>
    </w:p>
    <w:p w:rsidR="00000000" w:rsidDel="00000000" w:rsidP="00000000" w:rsidRDefault="00000000" w:rsidRPr="00000000" w14:paraId="00000014">
      <w:pPr>
        <w:numPr>
          <w:ilvl w:val="0"/>
          <w:numId w:val="3"/>
        </w:numPr>
        <w:spacing w:after="240" w:lineRule="auto"/>
        <w:ind w:left="720" w:hanging="360"/>
        <w:rPr>
          <w:sz w:val="20"/>
          <w:szCs w:val="20"/>
        </w:rPr>
      </w:pPr>
      <w:r w:rsidDel="00000000" w:rsidR="00000000" w:rsidRPr="00000000">
        <w:rPr>
          <w:sz w:val="20"/>
          <w:szCs w:val="20"/>
          <w:rtl w:val="0"/>
        </w:rPr>
        <w:t xml:space="preserve">Visitors, workshops, and themed days broaden pupils’ experiences, raise aspirations, and strengthen cultural capital.</w:t>
      </w:r>
    </w:p>
    <w:p w:rsidR="00000000" w:rsidDel="00000000" w:rsidP="00000000" w:rsidRDefault="00000000" w:rsidRPr="00000000" w14:paraId="00000015">
      <w:pPr>
        <w:pStyle w:val="Heading4"/>
        <w:keepNext w:val="0"/>
        <w:keepLines w:val="0"/>
        <w:spacing w:after="40" w:before="240" w:lineRule="auto"/>
        <w:rPr>
          <w:b w:val="1"/>
          <w:bCs w:val="1"/>
          <w:color w:val="000000"/>
          <w:sz w:val="20"/>
          <w:szCs w:val="20"/>
        </w:rPr>
      </w:pPr>
      <w:bookmarkStart w:colFirst="0" w:colLast="0" w:name="_heading=h.1ht92rneo6h" w:id="5"/>
      <w:bookmarkEnd w:id="5"/>
      <w:r w:rsidDel="00000000" w:rsidR="00000000" w:rsidRPr="00000000">
        <w:rPr>
          <w:b w:val="1"/>
          <w:bCs w:val="1"/>
          <w:color w:val="000000"/>
          <w:sz w:val="20"/>
          <w:szCs w:val="20"/>
          <w:rtl w:val="0"/>
        </w:rPr>
        <w:t xml:space="preserve">Support and Challenge</w:t>
      </w:r>
    </w:p>
    <w:p w:rsidR="00000000" w:rsidDel="00000000" w:rsidP="00000000" w:rsidRDefault="00000000" w:rsidRPr="00000000" w14:paraId="00000016">
      <w:pPr>
        <w:numPr>
          <w:ilvl w:val="0"/>
          <w:numId w:val="1"/>
        </w:numPr>
        <w:spacing w:before="240" w:lineRule="auto"/>
        <w:ind w:left="720" w:hanging="360"/>
        <w:rPr>
          <w:sz w:val="20"/>
          <w:szCs w:val="20"/>
        </w:rPr>
      </w:pPr>
      <w:r w:rsidDel="00000000" w:rsidR="00000000" w:rsidRPr="00000000">
        <w:rPr>
          <w:sz w:val="20"/>
          <w:szCs w:val="20"/>
          <w:rtl w:val="0"/>
        </w:rPr>
        <w:t xml:space="preserve">Adaptive teaching ensures all pupils can access the curriculum, with scaffolds, vocabulary support, and structured enquiry where needed.</w:t>
      </w:r>
    </w:p>
    <w:p w:rsidR="00000000" w:rsidDel="00000000" w:rsidP="00000000" w:rsidRDefault="00000000" w:rsidRPr="00000000" w14:paraId="00000017">
      <w:pPr>
        <w:numPr>
          <w:ilvl w:val="0"/>
          <w:numId w:val="1"/>
        </w:numPr>
        <w:spacing w:after="240" w:lineRule="auto"/>
        <w:ind w:left="720" w:hanging="360"/>
        <w:rPr>
          <w:sz w:val="20"/>
          <w:szCs w:val="20"/>
        </w:rPr>
      </w:pPr>
      <w:r w:rsidDel="00000000" w:rsidR="00000000" w:rsidRPr="00000000">
        <w:rPr>
          <w:sz w:val="20"/>
          <w:szCs w:val="20"/>
          <w:rtl w:val="0"/>
        </w:rPr>
        <w:t xml:space="preserve">Higher‑attaining pupils are challenged through deeper questioning, extended investigations.</w:t>
      </w:r>
    </w:p>
    <w:p w:rsidR="00000000" w:rsidDel="00000000" w:rsidP="00000000" w:rsidRDefault="00000000" w:rsidRPr="00000000" w14:paraId="00000018">
      <w:pPr>
        <w:spacing w:after="240" w:before="240" w:lineRule="auto"/>
        <w:ind w:left="720" w:firstLine="0"/>
        <w:rPr>
          <w:sz w:val="20"/>
          <w:szCs w:val="20"/>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0"/>
          <w:szCs w:val="20"/>
        </w:rPr>
      </w:pPr>
      <w:bookmarkStart w:colFirst="0" w:colLast="0" w:name="_heading=h.9xy788g3htmz" w:id="6"/>
      <w:bookmarkEnd w:id="6"/>
      <w:r w:rsidDel="00000000" w:rsidR="00000000" w:rsidRPr="00000000">
        <w:rPr>
          <w:rtl w:val="0"/>
        </w:rPr>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0"/>
          <w:szCs w:val="20"/>
        </w:rPr>
      </w:pPr>
      <w:bookmarkStart w:colFirst="0" w:colLast="0" w:name="_heading=h.wikpxamg8oa8" w:id="7"/>
      <w:bookmarkEnd w:id="7"/>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0"/>
          <w:szCs w:val="20"/>
        </w:rPr>
      </w:pPr>
      <w:bookmarkStart w:colFirst="0" w:colLast="0" w:name="_heading=h.1a52b2mlhip5" w:id="8"/>
      <w:bookmarkEnd w:id="8"/>
      <w:r w:rsidDel="00000000" w:rsidR="00000000" w:rsidRPr="00000000">
        <w:rPr>
          <w:b w:val="1"/>
          <w:bCs w:val="1"/>
          <w:color w:val="000000"/>
          <w:sz w:val="20"/>
          <w:szCs w:val="20"/>
          <w:rtl w:val="0"/>
        </w:rPr>
        <w:t xml:space="preserve">Impact</w:t>
      </w:r>
    </w:p>
    <w:p w:rsidR="00000000" w:rsidDel="00000000" w:rsidP="00000000" w:rsidRDefault="00000000" w:rsidRPr="00000000" w14:paraId="0000001D">
      <w:pPr>
        <w:spacing w:after="240" w:before="240" w:lineRule="auto"/>
        <w:rPr>
          <w:sz w:val="20"/>
          <w:szCs w:val="20"/>
        </w:rPr>
      </w:pPr>
      <w:r w:rsidDel="00000000" w:rsidR="00000000" w:rsidRPr="00000000">
        <w:rPr>
          <w:sz w:val="20"/>
          <w:szCs w:val="20"/>
          <w:rtl w:val="0"/>
        </w:rPr>
        <w:t xml:space="preserve">By the end of primary school, children will:</w:t>
      </w:r>
    </w:p>
    <w:p w:rsidR="00000000" w:rsidDel="00000000" w:rsidP="00000000" w:rsidRDefault="00000000" w:rsidRPr="00000000" w14:paraId="0000001E">
      <w:pPr>
        <w:numPr>
          <w:ilvl w:val="0"/>
          <w:numId w:val="2"/>
        </w:numPr>
        <w:spacing w:before="240" w:lineRule="auto"/>
        <w:ind w:left="720" w:hanging="360"/>
        <w:rPr>
          <w:sz w:val="20"/>
          <w:szCs w:val="20"/>
        </w:rPr>
      </w:pPr>
      <w:r w:rsidDel="00000000" w:rsidR="00000000" w:rsidRPr="00000000">
        <w:rPr>
          <w:sz w:val="20"/>
          <w:szCs w:val="20"/>
          <w:rtl w:val="0"/>
        </w:rPr>
        <w:t xml:space="preserve">Secure age‑appropriate scientific knowledge across all strands of the curriculum and retain this knowledge over time.</w:t>
      </w:r>
    </w:p>
    <w:p w:rsidR="00000000" w:rsidDel="00000000" w:rsidP="00000000" w:rsidRDefault="00000000" w:rsidRPr="00000000" w14:paraId="0000001F">
      <w:pPr>
        <w:numPr>
          <w:ilvl w:val="0"/>
          <w:numId w:val="2"/>
        </w:numPr>
        <w:ind w:left="720" w:hanging="360"/>
        <w:rPr>
          <w:sz w:val="20"/>
          <w:szCs w:val="20"/>
        </w:rPr>
      </w:pPr>
      <w:r w:rsidDel="00000000" w:rsidR="00000000" w:rsidRPr="00000000">
        <w:rPr>
          <w:sz w:val="20"/>
          <w:szCs w:val="20"/>
          <w:rtl w:val="0"/>
        </w:rPr>
        <w:t xml:space="preserve">Use scientific vocabulary confidently and accurately to explain their thinking.</w:t>
      </w:r>
    </w:p>
    <w:p w:rsidR="00000000" w:rsidDel="00000000" w:rsidP="00000000" w:rsidRDefault="00000000" w:rsidRPr="00000000" w14:paraId="00000020">
      <w:pPr>
        <w:numPr>
          <w:ilvl w:val="0"/>
          <w:numId w:val="2"/>
        </w:numPr>
        <w:ind w:left="720" w:hanging="360"/>
        <w:rPr>
          <w:sz w:val="20"/>
          <w:szCs w:val="20"/>
        </w:rPr>
      </w:pPr>
      <w:r w:rsidDel="00000000" w:rsidR="00000000" w:rsidRPr="00000000">
        <w:rPr>
          <w:sz w:val="20"/>
          <w:szCs w:val="20"/>
          <w:rtl w:val="0"/>
        </w:rPr>
        <w:t xml:space="preserve">Apply working scientifically skills independently, including planning enquiries, recording data, and drawing evidence‑based conclusions.</w:t>
      </w:r>
    </w:p>
    <w:p w:rsidR="00000000" w:rsidDel="00000000" w:rsidP="00000000" w:rsidRDefault="00000000" w:rsidRPr="00000000" w14:paraId="00000021">
      <w:pPr>
        <w:numPr>
          <w:ilvl w:val="0"/>
          <w:numId w:val="2"/>
        </w:numPr>
        <w:ind w:left="720" w:hanging="360"/>
        <w:rPr>
          <w:sz w:val="20"/>
          <w:szCs w:val="20"/>
        </w:rPr>
      </w:pPr>
      <w:r w:rsidDel="00000000" w:rsidR="00000000" w:rsidRPr="00000000">
        <w:rPr>
          <w:sz w:val="20"/>
          <w:szCs w:val="20"/>
          <w:rtl w:val="0"/>
        </w:rPr>
        <w:t xml:space="preserve">Demonstrate curiosity, resilience, and a positive attitude towards science learning.</w:t>
      </w:r>
    </w:p>
    <w:p w:rsidR="00000000" w:rsidDel="00000000" w:rsidP="00000000" w:rsidRDefault="00000000" w:rsidRPr="00000000" w14:paraId="00000022">
      <w:pPr>
        <w:numPr>
          <w:ilvl w:val="0"/>
          <w:numId w:val="2"/>
        </w:numPr>
        <w:ind w:left="720" w:hanging="360"/>
        <w:rPr>
          <w:sz w:val="20"/>
          <w:szCs w:val="20"/>
        </w:rPr>
      </w:pPr>
      <w:r w:rsidDel="00000000" w:rsidR="00000000" w:rsidRPr="00000000">
        <w:rPr>
          <w:sz w:val="20"/>
          <w:szCs w:val="20"/>
          <w:rtl w:val="0"/>
        </w:rPr>
        <w:t xml:space="preserve">Make meaningful connections between scientific ideas and real‑world contexts, understanding how science influences everyday life.</w:t>
      </w:r>
    </w:p>
    <w:p w:rsidR="00000000" w:rsidDel="00000000" w:rsidP="00000000" w:rsidRDefault="00000000" w:rsidRPr="00000000" w14:paraId="00000023">
      <w:pPr>
        <w:numPr>
          <w:ilvl w:val="0"/>
          <w:numId w:val="2"/>
        </w:numPr>
        <w:spacing w:after="240" w:lineRule="auto"/>
        <w:ind w:left="720" w:hanging="360"/>
        <w:rPr>
          <w:sz w:val="20"/>
          <w:szCs w:val="20"/>
        </w:rPr>
      </w:pPr>
      <w:r w:rsidDel="00000000" w:rsidR="00000000" w:rsidRPr="00000000">
        <w:rPr>
          <w:sz w:val="20"/>
          <w:szCs w:val="20"/>
          <w:rtl w:val="0"/>
        </w:rPr>
        <w:t xml:space="preserve">Be well prepared for the next stage of their education, with strong foundations for secondary science.</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line="276" w:lineRule="auto"/>
        <w:ind w:left="0" w:firstLine="0"/>
        <w:rPr>
          <w:rFonts w:ascii="SassoonPrimaryInfant" w:cs="SassoonPrimaryInfant" w:eastAsia="SassoonPrimaryInfant" w:hAnsi="SassoonPrimaryInfant"/>
          <w:b w:val="1"/>
          <w:bCs w:val="1"/>
          <w:sz w:val="24"/>
          <w:szCs w:val="24"/>
          <w:u w:val="single"/>
        </w:rPr>
      </w:pPr>
      <w:r w:rsidDel="00000000" w:rsidR="00000000" w:rsidRPr="00000000">
        <w:rPr>
          <w:rtl w:val="0"/>
        </w:rPr>
      </w:r>
    </w:p>
    <w:sectPr>
      <w:headerReference r:id="rId7" w:type="default"/>
      <w:pgSz w:h="16834" w:w="11909" w:orient="portrait"/>
      <w:pgMar w:bottom="239.64566929134207" w:top="708.661417322834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assoonPrimaryInfa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b w:val="1"/>
        <w:bCs w:val="1"/>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4505325</wp:posOffset>
          </wp:positionH>
          <wp:positionV relativeFrom="paragraph">
            <wp:posOffset>-104771</wp:posOffset>
          </wp:positionV>
          <wp:extent cx="890588" cy="8905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90588" cy="8905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6AEd56fFRcIp/cqF0KhUse+ptw==">CgMxLjAyDmguZ3dseGtlMjV5ZzE3Mg5oLmE1NjJtZzM1MTVqODIOaC5pMmNxY3M5ODF4c20yDmguZm53eGhzOXlvd2lqMg5oLjU3N2Jiejl2bGdyZDINaC4xaHQ5MnJuZW82aDIOaC45eHk3ODhnM2h0bXoyDmgud2lrcHhhbWc4b2E4Mg5oLjFhNTJiMm1saGlwNTgAciExNXRkX2VnbTdCVlZnb3NjeUFObDFpS29ac0NfSmxHZmE=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